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F989" w14:textId="77777777" w:rsidR="00550477" w:rsidRPr="00945516" w:rsidRDefault="00550477" w:rsidP="00550477">
      <w:pPr>
        <w:pStyle w:val="Kopfzeile"/>
        <w:jc w:val="left"/>
        <w:rPr>
          <w:rFonts w:ascii="Aptos" w:eastAsia="Calibri" w:hAnsi="Aptos" w:cs="Arial"/>
          <w:b/>
          <w:bCs/>
          <w:sz w:val="22"/>
          <w:szCs w:val="22"/>
          <w:lang w:eastAsia="en-US"/>
        </w:rPr>
      </w:pPr>
    </w:p>
    <w:p w14:paraId="0F8C9C8B" w14:textId="77777777" w:rsidR="00550477" w:rsidRPr="00945516" w:rsidRDefault="00550477" w:rsidP="00550477">
      <w:pPr>
        <w:pStyle w:val="Kopfzeile"/>
        <w:jc w:val="left"/>
        <w:rPr>
          <w:rFonts w:ascii="Aptos" w:eastAsia="Calibri" w:hAnsi="Aptos" w:cs="Arial"/>
          <w:b/>
          <w:bCs/>
          <w:sz w:val="22"/>
          <w:szCs w:val="22"/>
          <w:lang w:eastAsia="en-US"/>
        </w:rPr>
      </w:pPr>
    </w:p>
    <w:p w14:paraId="205E3493" w14:textId="77777777" w:rsidR="00550477" w:rsidRPr="00945516" w:rsidRDefault="00550477" w:rsidP="00550477">
      <w:pPr>
        <w:pStyle w:val="Kopfzeile"/>
        <w:jc w:val="left"/>
        <w:rPr>
          <w:rFonts w:ascii="Aptos" w:hAnsi="Aptos" w:cs="Arial"/>
          <w:sz w:val="62"/>
          <w:szCs w:val="62"/>
        </w:rPr>
      </w:pPr>
      <w:r w:rsidRPr="00945516">
        <w:rPr>
          <w:rFonts w:ascii="Aptos" w:eastAsia="Calibri" w:hAnsi="Aptos" w:cs="Arial"/>
          <w:b/>
          <w:bCs/>
          <w:sz w:val="62"/>
          <w:szCs w:val="62"/>
          <w:lang w:eastAsia="en-US"/>
        </w:rPr>
        <w:t>Checkliste Jugendschutz</w:t>
      </w:r>
    </w:p>
    <w:p w14:paraId="5913A818" w14:textId="77777777" w:rsidR="00550477" w:rsidRPr="00945516" w:rsidRDefault="00550477" w:rsidP="00550477">
      <w:pPr>
        <w:autoSpaceDE w:val="0"/>
        <w:autoSpaceDN w:val="0"/>
        <w:adjustRightInd w:val="0"/>
        <w:rPr>
          <w:rFonts w:ascii="Aptos" w:hAnsi="Aptos" w:cs="Arial"/>
          <w:color w:val="FF0000"/>
          <w:sz w:val="22"/>
          <w:szCs w:val="22"/>
          <w:lang w:val="de-DE"/>
        </w:rPr>
      </w:pPr>
    </w:p>
    <w:p w14:paraId="62247F80" w14:textId="77777777" w:rsidR="00550477" w:rsidRPr="00945516" w:rsidRDefault="00550477" w:rsidP="00550477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572BA2" w:rsidRPr="00945516">
        <w:rPr>
          <w:rFonts w:ascii="Aptos" w:eastAsia="Calibri" w:hAnsi="Aptos" w:cs="Arial"/>
          <w:sz w:val="22"/>
          <w:szCs w:val="22"/>
          <w:lang w:eastAsia="en-US"/>
        </w:rPr>
        <w:t xml:space="preserve">   </w:t>
      </w:r>
      <w:r w:rsidRPr="00945516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zwingende Auflagen des Gesetzes, können von der Polizei überprüft werden)</w:t>
      </w:r>
    </w:p>
    <w:p w14:paraId="7CCCA6EE" w14:textId="77777777" w:rsidR="00550477" w:rsidRPr="00945516" w:rsidRDefault="00550477" w:rsidP="00550477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522D05C6" w14:textId="77777777" w:rsidR="00550477" w:rsidRPr="00945516" w:rsidRDefault="00550477" w:rsidP="00550477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b/>
          <w:sz w:val="22"/>
          <w:szCs w:val="22"/>
          <w:lang w:eastAsia="en-US"/>
        </w:rPr>
        <w:t>Grundsätzliches</w:t>
      </w:r>
    </w:p>
    <w:p w14:paraId="24436CF3" w14:textId="77777777" w:rsidR="00550477" w:rsidRPr="00945516" w:rsidRDefault="00550477" w:rsidP="00572BA2">
      <w:pPr>
        <w:tabs>
          <w:tab w:val="left" w:pos="567"/>
          <w:tab w:val="left" w:pos="5103"/>
          <w:tab w:val="right" w:pos="9360"/>
        </w:tabs>
        <w:autoSpaceDE w:val="0"/>
        <w:autoSpaceDN w:val="0"/>
        <w:adjustRightInd w:val="0"/>
        <w:spacing w:after="80" w:line="276" w:lineRule="auto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 xml:space="preserve">Ausweispflicht und </w:t>
      </w:r>
      <w:proofErr w:type="spellStart"/>
      <w:r w:rsidRPr="00945516">
        <w:rPr>
          <w:rFonts w:ascii="Aptos" w:eastAsia="Calibri" w:hAnsi="Aptos" w:cs="Arial"/>
          <w:sz w:val="22"/>
          <w:szCs w:val="22"/>
          <w:lang w:eastAsia="en-US"/>
        </w:rPr>
        <w:t>Alterslimiten</w:t>
      </w:r>
      <w:proofErr w:type="spellEnd"/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="009F7E44" w:rsidRPr="00945516">
        <w:rPr>
          <w:rFonts w:ascii="Aptos" w:eastAsia="Calibri" w:hAnsi="Aptos" w:cs="Arial"/>
          <w:sz w:val="22"/>
          <w:szCs w:val="22"/>
          <w:lang w:eastAsia="en-US"/>
        </w:rPr>
        <w:t>stehen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auf Plakaten, Flyern und Webauftritt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</w:r>
    </w:p>
    <w:p w14:paraId="49B76EF5" w14:textId="77777777" w:rsidR="00550477" w:rsidRPr="00945516" w:rsidRDefault="00550477" w:rsidP="00572BA2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>Mitarbeitende sind über den Jugendschutz informier</w:t>
      </w:r>
      <w:r w:rsidR="00610041" w:rsidRPr="00945516">
        <w:rPr>
          <w:rFonts w:ascii="Aptos" w:eastAsia="Calibri" w:hAnsi="Aptos" w:cs="Arial"/>
          <w:sz w:val="22"/>
          <w:szCs w:val="22"/>
          <w:lang w:eastAsia="en-US"/>
        </w:rPr>
        <w:t xml:space="preserve">t (z.B. via </w:t>
      </w:r>
      <w:hyperlink r:id="rId11" w:history="1">
        <w:r w:rsidR="00610041" w:rsidRPr="00945516">
          <w:rPr>
            <w:rStyle w:val="Hyperlink"/>
            <w:rFonts w:ascii="Aptos" w:eastAsia="Calibri" w:hAnsi="Aptos" w:cs="Arial"/>
            <w:color w:val="auto"/>
            <w:sz w:val="22"/>
            <w:szCs w:val="22"/>
            <w:lang w:eastAsia="en-US"/>
          </w:rPr>
          <w:t>Online-Schulung</w:t>
        </w:r>
      </w:hyperlink>
      <w:r w:rsidR="00610041" w:rsidRPr="00945516">
        <w:rPr>
          <w:rFonts w:ascii="Aptos" w:eastAsia="Calibri" w:hAnsi="Aptos" w:cs="Arial"/>
          <w:sz w:val="22"/>
          <w:szCs w:val="22"/>
          <w:lang w:eastAsia="en-US"/>
        </w:rPr>
        <w:t>)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und halten diesen ein</w:t>
      </w:r>
      <w:r w:rsidR="00610041"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1D288E30" w14:textId="77777777" w:rsidR="00550477" w:rsidRPr="00945516" w:rsidRDefault="00550477" w:rsidP="00572BA2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18"/>
          <w:szCs w:val="18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>Jugendliche werden in die Planung miteinbezogen und zum Mitmachen aktiviert</w:t>
      </w:r>
    </w:p>
    <w:p w14:paraId="37E39178" w14:textId="77777777" w:rsidR="00550477" w:rsidRPr="00945516" w:rsidRDefault="00550477" w:rsidP="00550477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30506DC1" w14:textId="77777777" w:rsidR="00550477" w:rsidRPr="00945516" w:rsidRDefault="00550477" w:rsidP="00550477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b/>
          <w:sz w:val="22"/>
          <w:szCs w:val="22"/>
          <w:lang w:eastAsia="en-US"/>
        </w:rPr>
        <w:t>Eingangsbereich</w:t>
      </w:r>
    </w:p>
    <w:p w14:paraId="188F51B1" w14:textId="77777777" w:rsidR="00550477" w:rsidRPr="00945516" w:rsidRDefault="00550477" w:rsidP="00572BA2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>Alterseinteilung mit verschiedenfarbigen Kontrollarmbändern, die zugleich auch Eintrittsbänder sein können</w:t>
      </w:r>
    </w:p>
    <w:p w14:paraId="4D3DBF34" w14:textId="77777777" w:rsidR="00550477" w:rsidRPr="00945516" w:rsidRDefault="00550477" w:rsidP="00572BA2">
      <w:pPr>
        <w:tabs>
          <w:tab w:val="left" w:pos="567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945516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 xml:space="preserve">Die 16/18 Hinweisschilder sind, wenn möglich, gut sichtbar beim Eingang oder Empfang anzubringen </w:t>
      </w:r>
    </w:p>
    <w:p w14:paraId="54DD07CE" w14:textId="77777777" w:rsidR="00550477" w:rsidRPr="00945516" w:rsidRDefault="00550477" w:rsidP="00572BA2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3E81427A" w14:textId="77777777" w:rsidR="00550477" w:rsidRPr="00945516" w:rsidRDefault="00550477" w:rsidP="00572BA2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b/>
          <w:sz w:val="22"/>
          <w:szCs w:val="22"/>
          <w:lang w:eastAsia="en-US"/>
        </w:rPr>
        <w:t>Ausschankbereich</w:t>
      </w:r>
    </w:p>
    <w:p w14:paraId="7FE01796" w14:textId="77777777" w:rsidR="00550477" w:rsidRPr="00945516" w:rsidRDefault="00550477" w:rsidP="00572BA2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945516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>Die 16/18 Hinweisschilder sind an den Ausschankstellen bzw. Verkaufsstellen gut sichtbar angebracht</w:t>
      </w:r>
    </w:p>
    <w:p w14:paraId="52F5CA74" w14:textId="77777777" w:rsidR="00550477" w:rsidRPr="00945516" w:rsidRDefault="00550477" w:rsidP="00572BA2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945516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>Mindestens drei alkoholfreie Getränke werden billiger abgegeben, als das billigste alkoholhaltige Getränk in der gleichen Menge</w:t>
      </w:r>
    </w:p>
    <w:p w14:paraId="3A64B2CF" w14:textId="77777777" w:rsidR="001A4F74" w:rsidRPr="00945516" w:rsidRDefault="001A4F74" w:rsidP="00572BA2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 xml:space="preserve">Mindestens ein alkoholfreier Drink und/oder Shot </w:t>
      </w:r>
    </w:p>
    <w:p w14:paraId="442C93E7" w14:textId="77777777" w:rsidR="00550477" w:rsidRPr="00945516" w:rsidRDefault="00550477" w:rsidP="00572BA2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 xml:space="preserve">Mineralwasser wird sehr günstig </w:t>
      </w:r>
      <w:r w:rsidR="001A4F74" w:rsidRPr="00945516">
        <w:rPr>
          <w:rFonts w:ascii="Aptos" w:eastAsia="Calibri" w:hAnsi="Aptos" w:cs="Arial"/>
          <w:sz w:val="22"/>
          <w:szCs w:val="22"/>
          <w:lang w:eastAsia="en-US"/>
        </w:rPr>
        <w:t xml:space="preserve">oder sogar kostenlos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>abgegeben</w:t>
      </w:r>
    </w:p>
    <w:p w14:paraId="7D32E38D" w14:textId="77777777" w:rsidR="00550477" w:rsidRPr="00945516" w:rsidRDefault="00550477" w:rsidP="00550477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</w:p>
    <w:p w14:paraId="245081E0" w14:textId="77777777" w:rsidR="00711389" w:rsidRPr="00945516" w:rsidRDefault="00711389" w:rsidP="00711389">
      <w:pPr>
        <w:tabs>
          <w:tab w:val="left" w:pos="7380"/>
          <w:tab w:val="right" w:pos="9360"/>
        </w:tabs>
        <w:autoSpaceDE w:val="0"/>
        <w:autoSpaceDN w:val="0"/>
        <w:adjustRightInd w:val="0"/>
        <w:spacing w:after="120" w:line="276" w:lineRule="auto"/>
        <w:jc w:val="left"/>
        <w:rPr>
          <w:rFonts w:ascii="Aptos" w:eastAsia="Calibri" w:hAnsi="Aptos" w:cs="Arial"/>
          <w:b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b/>
          <w:sz w:val="22"/>
          <w:szCs w:val="22"/>
          <w:lang w:eastAsia="en-US"/>
        </w:rPr>
        <w:t>Personal (Kasse und Bar)</w:t>
      </w:r>
    </w:p>
    <w:p w14:paraId="3F932659" w14:textId="77777777" w:rsidR="00711389" w:rsidRPr="00945516" w:rsidRDefault="00711389" w:rsidP="00711389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  <w:r w:rsidRPr="00945516">
        <w:rPr>
          <w:rFonts w:ascii="Wingdings 2" w:eastAsia="Wingdings 2" w:hAnsi="Wingdings 2" w:cs="Wingdings 2"/>
          <w:sz w:val="22"/>
          <w:szCs w:val="22"/>
          <w:lang w:eastAsia="en-US"/>
        </w:rPr>
        <w:t>P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>kennt die gesetzlichen Bestimmungen des Jugendschutzes zu Alkohol, Tabak- und Nikotinprodukten</w:t>
      </w:r>
    </w:p>
    <w:p w14:paraId="0B32F21C" w14:textId="77777777" w:rsidR="00711389" w:rsidRPr="00945516" w:rsidRDefault="00711389" w:rsidP="00711389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 xml:space="preserve">akzeptiert nur amtliche Ausweise bei der Eingangskontrolle </w:t>
      </w:r>
    </w:p>
    <w:p w14:paraId="3C7EE47A" w14:textId="77777777" w:rsidR="00711389" w:rsidRPr="00945516" w:rsidRDefault="00711389" w:rsidP="00711389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ind w:left="567" w:hanging="567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>verlangt vor der Getränkeausgabe konsequent den Ausweis, falls keine Kontrollarmbänder das Alter kennzeichnen</w:t>
      </w:r>
    </w:p>
    <w:p w14:paraId="600421D0" w14:textId="21118439" w:rsidR="00550477" w:rsidRPr="00945516" w:rsidRDefault="00711389" w:rsidP="00DB0082">
      <w:pPr>
        <w:tabs>
          <w:tab w:val="left" w:pos="567"/>
        </w:tabs>
        <w:autoSpaceDE w:val="0"/>
        <w:autoSpaceDN w:val="0"/>
        <w:adjustRightInd w:val="0"/>
        <w:spacing w:after="80" w:line="276" w:lineRule="auto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instrText xml:space="preserve"> FORMCHECKBOX </w:instrText>
      </w:r>
      <w:r w:rsidRPr="00945516">
        <w:rPr>
          <w:rFonts w:ascii="Aptos" w:eastAsia="Calibri" w:hAnsi="Aptos" w:cs="Arial"/>
          <w:sz w:val="22"/>
          <w:szCs w:val="22"/>
          <w:lang w:eastAsia="en-US"/>
        </w:rPr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separate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fldChar w:fldCharType="end"/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  </w:t>
      </w:r>
      <w:r w:rsidRPr="00945516">
        <w:rPr>
          <w:rFonts w:ascii="Aptos" w:eastAsia="Calibri" w:hAnsi="Aptos" w:cs="Arial"/>
          <w:sz w:val="22"/>
          <w:szCs w:val="22"/>
          <w:lang w:eastAsia="en-US"/>
        </w:rPr>
        <w:tab/>
        <w:t>weiss, wie es sich gegenüber aggressiven Festbesucher*innen verhalten soll</w:t>
      </w:r>
    </w:p>
    <w:p w14:paraId="6D5C2702" w14:textId="690754CB" w:rsidR="00790EBE" w:rsidRPr="00945516" w:rsidRDefault="00550477" w:rsidP="72FC880B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after="120" w:line="276" w:lineRule="auto"/>
        <w:jc w:val="left"/>
        <w:rPr>
          <w:rFonts w:ascii="Aptos" w:eastAsia="Calibri" w:hAnsi="Aptos" w:cs="Arial"/>
          <w:b/>
          <w:bCs/>
          <w:sz w:val="22"/>
          <w:szCs w:val="22"/>
          <w:lang w:eastAsia="en-US"/>
        </w:rPr>
      </w:pPr>
      <w:r w:rsidRPr="72FC880B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Einsenden der Checkliste </w:t>
      </w:r>
      <w:r w:rsidR="00047499" w:rsidRPr="72FC880B">
        <w:rPr>
          <w:rFonts w:ascii="Aptos" w:eastAsia="Calibri" w:hAnsi="Aptos" w:cs="Arial"/>
          <w:b/>
          <w:bCs/>
          <w:sz w:val="22"/>
          <w:szCs w:val="22"/>
          <w:lang w:eastAsia="en-US"/>
        </w:rPr>
        <w:t xml:space="preserve">an die </w:t>
      </w:r>
      <w:hyperlink r:id="rId12" w:history="1">
        <w:r w:rsidR="001C4B53">
          <w:rPr>
            <w:rStyle w:val="Hyperlink"/>
            <w:rFonts w:ascii="Aptos" w:eastAsia="Calibri" w:hAnsi="Aptos" w:cs="Arial"/>
            <w:b/>
            <w:bCs/>
            <w:sz w:val="22"/>
            <w:szCs w:val="22"/>
            <w:lang w:eastAsia="en-US"/>
          </w:rPr>
          <w:t>zuständige Stelle Ihrer Gemeinde</w:t>
        </w:r>
      </w:hyperlink>
    </w:p>
    <w:p w14:paraId="44A53FA3" w14:textId="77777777" w:rsidR="00CB6F47" w:rsidRDefault="00CB6F47" w:rsidP="00CB6F47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360" w:line="276" w:lineRule="auto"/>
        <w:ind w:right="-646"/>
        <w:contextualSpacing/>
        <w:jc w:val="left"/>
        <w:rPr>
          <w:rFonts w:ascii="Aptos" w:eastAsia="Calibri" w:hAnsi="Aptos" w:cs="Arial"/>
          <w:b/>
          <w:bCs/>
          <w:sz w:val="22"/>
          <w:szCs w:val="22"/>
          <w:lang w:eastAsia="en-US"/>
        </w:rPr>
      </w:pPr>
    </w:p>
    <w:p w14:paraId="79D24B24" w14:textId="128722C0" w:rsidR="00DB0082" w:rsidRPr="00DB0082" w:rsidRDefault="00DB0082" w:rsidP="00CB6F47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360" w:line="276" w:lineRule="auto"/>
        <w:ind w:right="-646"/>
        <w:contextualSpacing/>
        <w:jc w:val="left"/>
        <w:rPr>
          <w:rFonts w:ascii="Aptos" w:eastAsia="Calibri" w:hAnsi="Aptos" w:cs="Arial"/>
          <w:b/>
          <w:bCs/>
          <w:sz w:val="22"/>
          <w:szCs w:val="22"/>
          <w:lang w:eastAsia="en-US"/>
        </w:rPr>
      </w:pPr>
      <w:r w:rsidRPr="00DB0082">
        <w:rPr>
          <w:rFonts w:ascii="Aptos" w:eastAsia="Calibri" w:hAnsi="Aptos" w:cs="Arial"/>
          <w:b/>
          <w:bCs/>
          <w:sz w:val="22"/>
          <w:szCs w:val="22"/>
          <w:lang w:eastAsia="en-US"/>
        </w:rPr>
        <w:t>Fragen</w:t>
      </w:r>
    </w:p>
    <w:p w14:paraId="13D45FAD" w14:textId="380A2FA3" w:rsidR="00550477" w:rsidRPr="00945516" w:rsidRDefault="00550477" w:rsidP="48313F7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00945516">
        <w:rPr>
          <w:rFonts w:ascii="Aptos" w:eastAsia="Calibri" w:hAnsi="Aptos" w:cs="Arial"/>
          <w:sz w:val="22"/>
          <w:szCs w:val="22"/>
          <w:lang w:eastAsia="en-US"/>
        </w:rPr>
        <w:t xml:space="preserve">Akzent Prävention und Suchttherapie </w:t>
      </w:r>
    </w:p>
    <w:p w14:paraId="55672B91" w14:textId="4F6E1A5B" w:rsidR="00550477" w:rsidRPr="00945516" w:rsidRDefault="00550477" w:rsidP="48313F7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after="80" w:line="276" w:lineRule="auto"/>
        <w:ind w:right="-646"/>
        <w:jc w:val="left"/>
        <w:rPr>
          <w:rFonts w:ascii="Aptos" w:eastAsia="Calibri" w:hAnsi="Aptos" w:cs="Arial"/>
          <w:sz w:val="22"/>
          <w:szCs w:val="22"/>
          <w:lang w:eastAsia="en-US"/>
        </w:rPr>
      </w:pPr>
      <w:r w:rsidRPr="72E8353F">
        <w:rPr>
          <w:rFonts w:ascii="Aptos" w:eastAsia="Calibri" w:hAnsi="Aptos" w:cs="Arial"/>
          <w:sz w:val="22"/>
          <w:szCs w:val="22"/>
          <w:lang w:eastAsia="en-US"/>
        </w:rPr>
        <w:t xml:space="preserve">Seidenhofstrasse 10, 6003 Luzern, 041 </w:t>
      </w:r>
      <w:r w:rsidR="0F537DB5" w:rsidRPr="72E8353F">
        <w:rPr>
          <w:rFonts w:ascii="Aptos" w:eastAsia="Calibri" w:hAnsi="Aptos" w:cs="Arial"/>
          <w:sz w:val="22"/>
          <w:szCs w:val="22"/>
          <w:lang w:eastAsia="en-US"/>
        </w:rPr>
        <w:t>515 02 02</w:t>
      </w:r>
      <w:r w:rsidRPr="72E8353F">
        <w:rPr>
          <w:rFonts w:ascii="Aptos" w:eastAsia="Calibri" w:hAnsi="Aptos" w:cs="Arial"/>
          <w:sz w:val="22"/>
          <w:szCs w:val="22"/>
          <w:lang w:eastAsia="en-US"/>
        </w:rPr>
        <w:t xml:space="preserve"> </w:t>
      </w:r>
    </w:p>
    <w:p w14:paraId="00FD3A9B" w14:textId="526DE9CE" w:rsidR="00550477" w:rsidRPr="00945516" w:rsidRDefault="00711389" w:rsidP="72FC880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Aptos" w:eastAsia="Calibri" w:hAnsi="Aptos" w:cs="Arial"/>
          <w:sz w:val="22"/>
          <w:szCs w:val="22"/>
          <w:lang w:eastAsia="en-US"/>
        </w:rPr>
      </w:pPr>
      <w:hyperlink r:id="rId13">
        <w:r w:rsidRPr="72FC880B">
          <w:rPr>
            <w:rStyle w:val="Hyperlink"/>
            <w:rFonts w:ascii="Aptos" w:eastAsia="Aptos" w:hAnsi="Aptos" w:cs="Aptos"/>
            <w:color w:val="auto"/>
            <w:sz w:val="22"/>
            <w:szCs w:val="22"/>
            <w:lang w:eastAsia="en-US"/>
          </w:rPr>
          <w:t>luegsch@akzent-luzern.ch</w:t>
        </w:r>
      </w:hyperlink>
      <w:r w:rsidR="00DB0082" w:rsidRPr="72FC880B">
        <w:rPr>
          <w:rFonts w:ascii="Aptos" w:eastAsia="Aptos" w:hAnsi="Aptos" w:cs="Aptos"/>
          <w:sz w:val="22"/>
          <w:szCs w:val="22"/>
          <w:lang w:eastAsia="en-US"/>
        </w:rPr>
        <w:t xml:space="preserve">, </w:t>
      </w:r>
      <w:hyperlink r:id="rId14">
        <w:r w:rsidR="00DB0082" w:rsidRPr="72FC880B">
          <w:rPr>
            <w:rStyle w:val="Hyperlink"/>
            <w:rFonts w:ascii="Aptos" w:eastAsia="Aptos" w:hAnsi="Aptos" w:cs="Aptos"/>
            <w:sz w:val="22"/>
            <w:szCs w:val="22"/>
            <w:lang w:eastAsia="en-US"/>
          </w:rPr>
          <w:t>www.akzent-luzern.ch/luegsch</w:t>
        </w:r>
      </w:hyperlink>
    </w:p>
    <w:sectPr w:rsidR="00550477" w:rsidRPr="00945516" w:rsidSect="00550477">
      <w:headerReference w:type="default" r:id="rId15"/>
      <w:pgSz w:w="11906" w:h="16838"/>
      <w:pgMar w:top="166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F833" w14:textId="77777777" w:rsidR="00A431F4" w:rsidRDefault="00A431F4" w:rsidP="00550477">
      <w:r>
        <w:separator/>
      </w:r>
    </w:p>
  </w:endnote>
  <w:endnote w:type="continuationSeparator" w:id="0">
    <w:p w14:paraId="06A280CA" w14:textId="77777777" w:rsidR="00A431F4" w:rsidRDefault="00A431F4" w:rsidP="0055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akt Pro Nor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C3A4" w14:textId="77777777" w:rsidR="00A431F4" w:rsidRDefault="00A431F4" w:rsidP="00550477">
      <w:r>
        <w:separator/>
      </w:r>
    </w:p>
  </w:footnote>
  <w:footnote w:type="continuationSeparator" w:id="0">
    <w:p w14:paraId="2EB21851" w14:textId="77777777" w:rsidR="00A431F4" w:rsidRDefault="00A431F4" w:rsidP="0055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E02D" w14:textId="77777777" w:rsidR="00550477" w:rsidRDefault="00550477">
    <w:pPr>
      <w:pStyle w:val="Kopfzeile"/>
    </w:pPr>
    <w:r w:rsidRPr="001D418A">
      <w:rPr>
        <w:rFonts w:ascii="Fakt Pro Nor" w:hAnsi="Fakt Pro Nor"/>
        <w:strike/>
        <w:noProof/>
        <w:sz w:val="22"/>
        <w:szCs w:val="22"/>
        <w:highlight w:val="yellow"/>
      </w:rPr>
      <w:drawing>
        <wp:anchor distT="0" distB="0" distL="114300" distR="114300" simplePos="0" relativeHeight="251658240" behindDoc="0" locked="0" layoutInCell="1" allowOverlap="1" wp14:anchorId="33744FBF" wp14:editId="102412FA">
          <wp:simplePos x="0" y="0"/>
          <wp:positionH relativeFrom="column">
            <wp:posOffset>3630871</wp:posOffset>
          </wp:positionH>
          <wp:positionV relativeFrom="paragraph">
            <wp:posOffset>244520</wp:posOffset>
          </wp:positionV>
          <wp:extent cx="1933575" cy="314325"/>
          <wp:effectExtent l="0" t="0" r="0" b="0"/>
          <wp:wrapNone/>
          <wp:docPr id="5" name="Bild 11" descr="Logo Akzent al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Akzent als 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08017">
    <w:abstractNumId w:val="0"/>
  </w:num>
  <w:num w:numId="2" w16cid:durableId="161960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47499"/>
    <w:rsid w:val="000607EA"/>
    <w:rsid w:val="00072DF9"/>
    <w:rsid w:val="000808A0"/>
    <w:rsid w:val="000926A0"/>
    <w:rsid w:val="000D7DDE"/>
    <w:rsid w:val="000E099A"/>
    <w:rsid w:val="0012028D"/>
    <w:rsid w:val="00120784"/>
    <w:rsid w:val="00122C86"/>
    <w:rsid w:val="00143E74"/>
    <w:rsid w:val="00174862"/>
    <w:rsid w:val="00180BA5"/>
    <w:rsid w:val="001A4F74"/>
    <w:rsid w:val="001B2BA2"/>
    <w:rsid w:val="001C35F5"/>
    <w:rsid w:val="001C4B53"/>
    <w:rsid w:val="001D418A"/>
    <w:rsid w:val="00244E08"/>
    <w:rsid w:val="0026784D"/>
    <w:rsid w:val="00271BF3"/>
    <w:rsid w:val="002840CA"/>
    <w:rsid w:val="00290DBB"/>
    <w:rsid w:val="00291826"/>
    <w:rsid w:val="002A3ACA"/>
    <w:rsid w:val="002C2BC8"/>
    <w:rsid w:val="002C74FD"/>
    <w:rsid w:val="00324899"/>
    <w:rsid w:val="00342CB6"/>
    <w:rsid w:val="00344087"/>
    <w:rsid w:val="00367498"/>
    <w:rsid w:val="00373654"/>
    <w:rsid w:val="003A0CEB"/>
    <w:rsid w:val="003B150D"/>
    <w:rsid w:val="003B720A"/>
    <w:rsid w:val="003D5DA9"/>
    <w:rsid w:val="003D7ED2"/>
    <w:rsid w:val="00480E4B"/>
    <w:rsid w:val="004869C2"/>
    <w:rsid w:val="00514D2E"/>
    <w:rsid w:val="00522D3A"/>
    <w:rsid w:val="00550477"/>
    <w:rsid w:val="00560BAE"/>
    <w:rsid w:val="00572BA2"/>
    <w:rsid w:val="0059214A"/>
    <w:rsid w:val="005F38E4"/>
    <w:rsid w:val="00600D52"/>
    <w:rsid w:val="00610041"/>
    <w:rsid w:val="00627EAC"/>
    <w:rsid w:val="00630087"/>
    <w:rsid w:val="0064587E"/>
    <w:rsid w:val="006527F2"/>
    <w:rsid w:val="00665993"/>
    <w:rsid w:val="00691329"/>
    <w:rsid w:val="006B2FB2"/>
    <w:rsid w:val="006C42A4"/>
    <w:rsid w:val="006C4BB5"/>
    <w:rsid w:val="006F095E"/>
    <w:rsid w:val="00711389"/>
    <w:rsid w:val="0071170E"/>
    <w:rsid w:val="007233A3"/>
    <w:rsid w:val="00736B15"/>
    <w:rsid w:val="00740C1A"/>
    <w:rsid w:val="00766752"/>
    <w:rsid w:val="00767AD1"/>
    <w:rsid w:val="00790EBE"/>
    <w:rsid w:val="007F04B7"/>
    <w:rsid w:val="007F7A57"/>
    <w:rsid w:val="0080350C"/>
    <w:rsid w:val="00811A4F"/>
    <w:rsid w:val="0081484F"/>
    <w:rsid w:val="00831238"/>
    <w:rsid w:val="00831BB3"/>
    <w:rsid w:val="008361A0"/>
    <w:rsid w:val="00882F48"/>
    <w:rsid w:val="00897C73"/>
    <w:rsid w:val="008A3230"/>
    <w:rsid w:val="008D6105"/>
    <w:rsid w:val="008F47C4"/>
    <w:rsid w:val="0091252B"/>
    <w:rsid w:val="00914335"/>
    <w:rsid w:val="00945516"/>
    <w:rsid w:val="00981CDE"/>
    <w:rsid w:val="00993593"/>
    <w:rsid w:val="00993ED2"/>
    <w:rsid w:val="009A0028"/>
    <w:rsid w:val="009F7E44"/>
    <w:rsid w:val="00A431F4"/>
    <w:rsid w:val="00A45C27"/>
    <w:rsid w:val="00A45EDD"/>
    <w:rsid w:val="00A659EB"/>
    <w:rsid w:val="00A70092"/>
    <w:rsid w:val="00A85F50"/>
    <w:rsid w:val="00AA0DF0"/>
    <w:rsid w:val="00AF0239"/>
    <w:rsid w:val="00B45463"/>
    <w:rsid w:val="00B50F0E"/>
    <w:rsid w:val="00BA55C8"/>
    <w:rsid w:val="00BD1EA8"/>
    <w:rsid w:val="00C1230A"/>
    <w:rsid w:val="00C44FBE"/>
    <w:rsid w:val="00C50DAD"/>
    <w:rsid w:val="00C54783"/>
    <w:rsid w:val="00C7590A"/>
    <w:rsid w:val="00CB6D80"/>
    <w:rsid w:val="00CB6F47"/>
    <w:rsid w:val="00CC3017"/>
    <w:rsid w:val="00CF2595"/>
    <w:rsid w:val="00D14940"/>
    <w:rsid w:val="00D4693C"/>
    <w:rsid w:val="00D6757F"/>
    <w:rsid w:val="00D7508E"/>
    <w:rsid w:val="00DA31F9"/>
    <w:rsid w:val="00DA6BAE"/>
    <w:rsid w:val="00DB0082"/>
    <w:rsid w:val="00DC2DAE"/>
    <w:rsid w:val="00DD61F3"/>
    <w:rsid w:val="00DF19BC"/>
    <w:rsid w:val="00E07266"/>
    <w:rsid w:val="00E26F33"/>
    <w:rsid w:val="00E655DF"/>
    <w:rsid w:val="00EB5FE8"/>
    <w:rsid w:val="00EF74EF"/>
    <w:rsid w:val="00F13C6F"/>
    <w:rsid w:val="00F31CF0"/>
    <w:rsid w:val="00F54D89"/>
    <w:rsid w:val="00F92842"/>
    <w:rsid w:val="00FB3B7D"/>
    <w:rsid w:val="00FD2303"/>
    <w:rsid w:val="00FE1A35"/>
    <w:rsid w:val="00FF2EC2"/>
    <w:rsid w:val="0F537DB5"/>
    <w:rsid w:val="48313F7E"/>
    <w:rsid w:val="72E8353F"/>
    <w:rsid w:val="72FC8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76B343"/>
  <w15:chartTrackingRefBased/>
  <w15:docId w15:val="{6498F129-D3E5-4E2F-9DDC-76DB3F4D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customStyle="1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74EF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rsid w:val="005504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50477"/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egsch@akzent-luzern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kzent-luzern.ch/luegsch/gemeind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e-check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kzent-luzern.ch/luegs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C9DD47F09A664199C6F4197B1D1CE6" ma:contentTypeVersion="13" ma:contentTypeDescription="Ein neues Dokument erstellen." ma:contentTypeScope="" ma:versionID="063e470569cd7bfbac3b5f80fe83f465">
  <xsd:schema xmlns:xsd="http://www.w3.org/2001/XMLSchema" xmlns:xs="http://www.w3.org/2001/XMLSchema" xmlns:p="http://schemas.microsoft.com/office/2006/metadata/properties" xmlns:ns2="17729c10-43b3-4f2f-8670-23aee0b3a53a" xmlns:ns3="8263231c-1ff3-4a93-97d9-5cfc7cc85367" targetNamespace="http://schemas.microsoft.com/office/2006/metadata/properties" ma:root="true" ma:fieldsID="9704ee02877b117ddcdd94b684ba5745" ns2:_="" ns3:_="">
    <xsd:import namespace="17729c10-43b3-4f2f-8670-23aee0b3a53a"/>
    <xsd:import namespace="8263231c-1ff3-4a93-97d9-5cfc7cc85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29c10-43b3-4f2f-8670-23aee0b3a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defbf7e3-39d4-49ae-92ff-e13839fbd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31c-1ff3-4a93-97d9-5cfc7cc853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a827cb-7af1-4665-ac7d-069b26a42227}" ma:internalName="TaxCatchAll" ma:showField="CatchAllData" ma:web="8263231c-1ff3-4a93-97d9-5cfc7cc8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29c10-43b3-4f2f-8670-23aee0b3a53a">
      <Terms xmlns="http://schemas.microsoft.com/office/infopath/2007/PartnerControls"/>
    </lcf76f155ced4ddcb4097134ff3c332f>
    <TaxCatchAll xmlns="8263231c-1ff3-4a93-97d9-5cfc7cc853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541F4-7F72-41F7-8976-E2F6640D1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29c10-43b3-4f2f-8670-23aee0b3a53a"/>
    <ds:schemaRef ds:uri="8263231c-1ff3-4a93-97d9-5cfc7cc85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57CB8-F912-4362-86DA-439C4C052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B9092-4A59-4089-B2D1-0187C9657C81}">
  <ds:schemaRefs>
    <ds:schemaRef ds:uri="http://schemas.microsoft.com/office/2006/metadata/properties"/>
    <ds:schemaRef ds:uri="http://schemas.microsoft.com/office/infopath/2007/PartnerControls"/>
    <ds:schemaRef ds:uri="17729c10-43b3-4f2f-8670-23aee0b3a53a"/>
    <ds:schemaRef ds:uri="8263231c-1ff3-4a93-97d9-5cfc7cc85367"/>
  </ds:schemaRefs>
</ds:datastoreItem>
</file>

<file path=customXml/itemProps4.xml><?xml version="1.0" encoding="utf-8"?>
<ds:datastoreItem xmlns:ds="http://schemas.openxmlformats.org/officeDocument/2006/customXml" ds:itemID="{65380A1A-52F0-4020-A4EB-BA297E0D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1824</Characters>
  <Application>Microsoft Office Word</Application>
  <DocSecurity>0</DocSecurity>
  <Lines>15</Lines>
  <Paragraphs>4</Paragraphs>
  <ScaleCrop>false</ScaleCrop>
  <Company>Privat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</dc:creator>
  <cp:keywords/>
  <cp:lastModifiedBy>Brigitte Waldis (Akzent Prävention und Suchttherapie)</cp:lastModifiedBy>
  <cp:revision>12</cp:revision>
  <cp:lastPrinted>2014-02-06T00:57:00Z</cp:lastPrinted>
  <dcterms:created xsi:type="dcterms:W3CDTF">2025-09-15T23:08:00Z</dcterms:created>
  <dcterms:modified xsi:type="dcterms:W3CDTF">2026-01-07T11:33:00Z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0x010100D3C9DD47F09A664199C6F4197B1D1CE6</vt:lpwstr>
  </property>
  <property fmtid="{D5CDD505-2E9C-101B-9397-08002B2CF9AE}" pid="3" name="MediaServiceImageTags">
    <vt:lpwstr/>
  </property>
</Properties>
</file>